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5BFCC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技术参数及规格要求</w:t>
      </w:r>
    </w:p>
    <w:p w14:paraId="586C2526">
      <w:pPr>
        <w:rPr>
          <w:rFonts w:hint="eastAsia"/>
        </w:rPr>
      </w:pPr>
    </w:p>
    <w:p w14:paraId="729A56D3">
      <w:pPr>
        <w:rPr>
          <w:rFonts w:hint="eastAsia"/>
        </w:rPr>
      </w:pPr>
    </w:p>
    <w:p w14:paraId="543E0BF2">
      <w:pPr>
        <w:rPr>
          <w:rFonts w:hint="eastAsia"/>
          <w:sz w:val="28"/>
          <w:szCs w:val="28"/>
        </w:rPr>
      </w:pPr>
    </w:p>
    <w:p w14:paraId="45F5AF7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标的物清单</w:t>
      </w:r>
    </w:p>
    <w:p w14:paraId="0ED60047">
      <w:pPr>
        <w:rPr>
          <w:rFonts w:hint="eastAsia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1491"/>
        <w:gridCol w:w="791"/>
        <w:gridCol w:w="698"/>
        <w:gridCol w:w="1049"/>
        <w:gridCol w:w="788"/>
        <w:gridCol w:w="5473"/>
      </w:tblGrid>
      <w:tr w14:paraId="6D05B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8" w:type="dxa"/>
            <w:shd w:val="solid" w:color="B6DDE8" w:themeColor="accent5" w:themeTint="66" w:fill="auto"/>
            <w:vAlign w:val="center"/>
          </w:tcPr>
          <w:p w14:paraId="08BB94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491" w:type="dxa"/>
            <w:shd w:val="solid" w:color="B6DDE8" w:themeColor="accent5" w:themeTint="66" w:fill="auto"/>
            <w:vAlign w:val="center"/>
          </w:tcPr>
          <w:p w14:paraId="25C8C8D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货物名称</w:t>
            </w:r>
          </w:p>
        </w:tc>
        <w:tc>
          <w:tcPr>
            <w:tcW w:w="791" w:type="dxa"/>
            <w:shd w:val="solid" w:color="B6DDE8" w:themeColor="accent5" w:themeTint="66" w:fill="auto"/>
            <w:vAlign w:val="center"/>
          </w:tcPr>
          <w:p w14:paraId="49EEA4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698" w:type="dxa"/>
            <w:shd w:val="solid" w:color="B6DDE8" w:themeColor="accent5" w:themeTint="66" w:fill="auto"/>
            <w:vAlign w:val="center"/>
          </w:tcPr>
          <w:p w14:paraId="356595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1049" w:type="dxa"/>
            <w:shd w:val="solid" w:color="B6DDE8" w:themeColor="accent5" w:themeTint="66" w:fill="auto"/>
            <w:vAlign w:val="center"/>
          </w:tcPr>
          <w:p w14:paraId="354B15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预算金额（万元）</w:t>
            </w:r>
          </w:p>
        </w:tc>
        <w:tc>
          <w:tcPr>
            <w:tcW w:w="788" w:type="dxa"/>
            <w:shd w:val="solid" w:color="B6DDE8" w:themeColor="accent5" w:themeTint="66" w:fill="auto"/>
            <w:vAlign w:val="center"/>
          </w:tcPr>
          <w:p w14:paraId="2492C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币种</w:t>
            </w:r>
          </w:p>
        </w:tc>
        <w:tc>
          <w:tcPr>
            <w:tcW w:w="5473" w:type="dxa"/>
            <w:shd w:val="solid" w:color="B6DDE8" w:themeColor="accent5" w:themeTint="66" w:fill="auto"/>
            <w:vAlign w:val="center"/>
          </w:tcPr>
          <w:p w14:paraId="135699E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简要技术要求</w:t>
            </w:r>
          </w:p>
        </w:tc>
      </w:tr>
      <w:tr w14:paraId="128EF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0" w:hRule="atLeast"/>
        </w:trPr>
        <w:tc>
          <w:tcPr>
            <w:tcW w:w="608" w:type="dxa"/>
            <w:vAlign w:val="center"/>
          </w:tcPr>
          <w:p w14:paraId="4D6E3E69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91" w:type="dxa"/>
            <w:vAlign w:val="center"/>
          </w:tcPr>
          <w:p w14:paraId="1F707858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桌面</w:t>
            </w:r>
          </w:p>
        </w:tc>
        <w:tc>
          <w:tcPr>
            <w:tcW w:w="791" w:type="dxa"/>
            <w:vAlign w:val="center"/>
          </w:tcPr>
          <w:p w14:paraId="5EB721E7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698" w:type="dxa"/>
            <w:vAlign w:val="center"/>
          </w:tcPr>
          <w:p w14:paraId="27156F0E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1049" w:type="dxa"/>
            <w:vAlign w:val="center"/>
          </w:tcPr>
          <w:p w14:paraId="4CABE976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7840</w:t>
            </w:r>
          </w:p>
        </w:tc>
        <w:tc>
          <w:tcPr>
            <w:tcW w:w="788" w:type="dxa"/>
            <w:vAlign w:val="center"/>
          </w:tcPr>
          <w:p w14:paraId="4231911C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人民币</w:t>
            </w:r>
          </w:p>
        </w:tc>
        <w:tc>
          <w:tcPr>
            <w:tcW w:w="5473" w:type="dxa"/>
            <w:vMerge w:val="restart"/>
            <w:vAlign w:val="center"/>
          </w:tcPr>
          <w:p w14:paraId="59496AE6">
            <w:pPr>
              <w:ind w:leftChars="100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1.实木多层板：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产品符合：产品符合：</w:t>
            </w:r>
          </w:p>
          <w:p w14:paraId="2BFE74D4">
            <w:pPr>
              <w:ind w:leftChars="100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①GB/T9846-2015含水率：5%~16%；GB/T9846-2015-静曲强度(顺纹、横纹)均≥40.6MPa，弹性模量：顺纹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≥5000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MPa横纹≥4000MPa</w:t>
            </w:r>
          </w:p>
          <w:p w14:paraId="69022C6B">
            <w:pPr>
              <w:ind w:leftChars="100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②GB/T 35601-2017-苯、甲苯、二甲苯、总挥发性有机化合物（TVOC）未检出；</w:t>
            </w:r>
          </w:p>
          <w:p w14:paraId="0696441E">
            <w:pPr>
              <w:ind w:leftChars="100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③QB/T4371-2012-抗菌性能（金黄色葡萄球菌、大肠埃希氏菌）均≥99%；④JC/T2039-2010-防霉菌性（黑曲霉、绿色木霉）均0级；</w:t>
            </w:r>
          </w:p>
          <w:p w14:paraId="28C37266">
            <w:pPr>
              <w:ind w:leftChars="100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⑤GB/T36022-2018-氨释放量（气候箱法）未检出。</w:t>
            </w:r>
          </w:p>
          <w:p w14:paraId="5571CAAF">
            <w:pPr>
              <w:ind w:leftChars="100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MDI胶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（无醛胶）：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采用环保胶粘接，防潮、耐用、不褪色。产品符合：</w:t>
            </w:r>
          </w:p>
          <w:p w14:paraId="67E9B416">
            <w:pPr>
              <w:widowControl w:val="0"/>
              <w:ind w:leftChars="10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①GB 18583-2008提供游离甲醛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≤1.0，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苯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≤0.20，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甲苯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二甲苯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≤10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；</w:t>
            </w:r>
          </w:p>
          <w:p w14:paraId="77538017">
            <w:pPr>
              <w:widowControl w:val="0"/>
              <w:ind w:left="210" w:leftChars="10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②总挥发有机化合物≤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10g/L。</w:t>
            </w:r>
          </w:p>
          <w:p w14:paraId="6F097055">
            <w:pPr>
              <w:widowControl w:val="0"/>
              <w:ind w:left="210" w:leftChars="10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18"/>
                <w:szCs w:val="18"/>
                <w:lang w:val="en-US" w:eastAsia="zh-CN" w:bidi="ar-SA"/>
              </w:rPr>
              <w:t>防火板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：产品符合：</w:t>
            </w:r>
          </w:p>
          <w:p w14:paraId="02B706DC">
            <w:pPr>
              <w:widowControl w:val="0"/>
              <w:ind w:left="210" w:leftChars="10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①GB/T 1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7657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-201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3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-表面耐冷热循环：无裂纹、鼓泡、变色、起皱等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。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GB/T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15102-2017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表面耐划痕：≥1.5N表面无≥90%的连续划痕、表面耐磨：磨耗值mg/100 r≦80，素色：磨≥350r以后应无露底现象，图案纹磨≥100r后应保留50%以上花纹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。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GB/T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17657-2013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表面耐香烟灼烧：达到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4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级或更优、表面耐干热：达到四级或更优；</w:t>
            </w:r>
          </w:p>
          <w:p w14:paraId="7A795D7B">
            <w:pPr>
              <w:widowControl w:val="0"/>
              <w:ind w:left="210" w:leftChars="10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 xml:space="preserve">②GB/T 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29899-2013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苯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≤</w:t>
            </w: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10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、甲苯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≤</w:t>
            </w: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20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、二甲苯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≤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20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、总挥发性有机化合物(TVOC)未检出；</w:t>
            </w:r>
          </w:p>
          <w:p w14:paraId="79E5BE95">
            <w:pPr>
              <w:widowControl w:val="0"/>
              <w:ind w:left="210" w:leftChars="10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③GB/T3</w:t>
            </w:r>
            <w:r>
              <w:rPr>
                <w:rFonts w:hint="eastAsia" w:cstheme="minorBidi"/>
                <w:kern w:val="2"/>
                <w:sz w:val="18"/>
                <w:szCs w:val="18"/>
                <w:lang w:val="en-US" w:eastAsia="zh-CN" w:bidi="ar-SA"/>
              </w:rPr>
              <w:t>9600-2021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-甲醛释放量（气候箱法）ENF级≤0.025mg/m³；</w:t>
            </w:r>
          </w:p>
          <w:p w14:paraId="105B0E6C">
            <w:pPr>
              <w:widowControl w:val="0"/>
              <w:ind w:left="210" w:leftChars="10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④GB/T36022-2018-氨释放量（气候箱法）未检出。</w:t>
            </w:r>
          </w:p>
          <w:p w14:paraId="7F5BBF56">
            <w:pPr>
              <w:widowControl w:val="0"/>
              <w:ind w:left="210" w:leftChars="100" w:firstLine="0" w:firstLineChars="0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4</w:t>
            </w: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18"/>
                <w:szCs w:val="18"/>
                <w:lang w:val="en-US" w:eastAsia="zh-CN" w:bidi="ar-SA"/>
              </w:rPr>
              <w:t>.PVC封边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18"/>
                <w:szCs w:val="18"/>
                <w:lang w:val="en-US" w:eastAsia="zh-CN" w:bidi="ar-SA"/>
              </w:rPr>
              <w:t>：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产品符合：</w:t>
            </w:r>
          </w:p>
          <w:p w14:paraId="25A76B0C">
            <w:pPr>
              <w:ind w:leftChars="100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①GB/T17657-1999 ，耐干热性无龟裂、无鼓泡，耐开裂性、耐龟裂性≥2级、耐老化性合格，耐光色度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≥</w:t>
            </w: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4级</w:t>
            </w:r>
          </w:p>
          <w:p w14:paraId="461BA808">
            <w:pPr>
              <w:ind w:leftChars="100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②甲醛释放量GB/T17657-1999E1级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1.5。可迁移元素（可溶性重金属）（mg/kg)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：铅（pb)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90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、镉（Cd)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75,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铬(cr)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60，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汞（Hg)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60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，锑（sb)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60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，硒(se)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、砷(As)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、钡(Ba)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≤</w:t>
            </w:r>
            <w:r>
              <w:rPr>
                <w:rFonts w:hint="eastAsia" w:cstheme="minorHAnsi"/>
                <w:sz w:val="18"/>
                <w:szCs w:val="18"/>
                <w:lang w:val="en-US" w:eastAsia="zh-CN"/>
              </w:rPr>
              <w:t>1000，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均未检出。</w:t>
            </w:r>
          </w:p>
          <w:p w14:paraId="346E36CA">
            <w:pPr>
              <w:ind w:leftChars="100"/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14:paraId="7DB31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5" w:hRule="atLeast"/>
        </w:trPr>
        <w:tc>
          <w:tcPr>
            <w:tcW w:w="608" w:type="dxa"/>
            <w:vAlign w:val="center"/>
          </w:tcPr>
          <w:p w14:paraId="03126305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91" w:type="dxa"/>
            <w:vAlign w:val="center"/>
          </w:tcPr>
          <w:p w14:paraId="198CF47A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坐板</w:t>
            </w:r>
          </w:p>
        </w:tc>
        <w:tc>
          <w:tcPr>
            <w:tcW w:w="791" w:type="dxa"/>
            <w:vAlign w:val="center"/>
          </w:tcPr>
          <w:p w14:paraId="5B15A552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645</w:t>
            </w:r>
          </w:p>
        </w:tc>
        <w:tc>
          <w:tcPr>
            <w:tcW w:w="698" w:type="dxa"/>
            <w:vAlign w:val="center"/>
          </w:tcPr>
          <w:p w14:paraId="7BFBB34F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1049" w:type="dxa"/>
            <w:vAlign w:val="center"/>
          </w:tcPr>
          <w:p w14:paraId="0B9A2368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29025</w:t>
            </w:r>
          </w:p>
        </w:tc>
        <w:tc>
          <w:tcPr>
            <w:tcW w:w="788" w:type="dxa"/>
            <w:vAlign w:val="center"/>
          </w:tcPr>
          <w:p w14:paraId="2D916025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人民币</w:t>
            </w:r>
          </w:p>
        </w:tc>
        <w:tc>
          <w:tcPr>
            <w:tcW w:w="5473" w:type="dxa"/>
            <w:vMerge w:val="continue"/>
            <w:vAlign w:val="center"/>
          </w:tcPr>
          <w:p w14:paraId="734DF2FD">
            <w:pPr>
              <w:ind w:leftChars="100"/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14:paraId="7ED9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9" w:hRule="atLeast"/>
        </w:trPr>
        <w:tc>
          <w:tcPr>
            <w:tcW w:w="608" w:type="dxa"/>
            <w:vAlign w:val="center"/>
          </w:tcPr>
          <w:p w14:paraId="159F6F0E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91" w:type="dxa"/>
            <w:vAlign w:val="center"/>
          </w:tcPr>
          <w:p w14:paraId="35971478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靠背板</w:t>
            </w:r>
          </w:p>
        </w:tc>
        <w:tc>
          <w:tcPr>
            <w:tcW w:w="791" w:type="dxa"/>
            <w:vAlign w:val="center"/>
          </w:tcPr>
          <w:p w14:paraId="69B94142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283</w:t>
            </w:r>
          </w:p>
        </w:tc>
        <w:tc>
          <w:tcPr>
            <w:tcW w:w="698" w:type="dxa"/>
            <w:vAlign w:val="center"/>
          </w:tcPr>
          <w:p w14:paraId="1252CA95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1049" w:type="dxa"/>
            <w:vAlign w:val="center"/>
          </w:tcPr>
          <w:p w14:paraId="7E9ADB54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12735</w:t>
            </w:r>
          </w:p>
        </w:tc>
        <w:tc>
          <w:tcPr>
            <w:tcW w:w="788" w:type="dxa"/>
            <w:vAlign w:val="center"/>
          </w:tcPr>
          <w:p w14:paraId="0EB271F8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人民币</w:t>
            </w:r>
          </w:p>
        </w:tc>
        <w:tc>
          <w:tcPr>
            <w:tcW w:w="5473" w:type="dxa"/>
            <w:vMerge w:val="continue"/>
            <w:vAlign w:val="center"/>
          </w:tcPr>
          <w:p w14:paraId="129B7E5B">
            <w:pPr>
              <w:ind w:leftChars="100"/>
              <w:jc w:val="center"/>
              <w:rPr>
                <w:sz w:val="18"/>
                <w:szCs w:val="18"/>
              </w:rPr>
            </w:pPr>
          </w:p>
        </w:tc>
      </w:tr>
      <w:tr w14:paraId="0A6EA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08" w:type="dxa"/>
            <w:vAlign w:val="center"/>
          </w:tcPr>
          <w:p w14:paraId="72ADBD27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91" w:type="dxa"/>
            <w:vAlign w:val="center"/>
          </w:tcPr>
          <w:p w14:paraId="2B2658C8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五金</w:t>
            </w:r>
          </w:p>
        </w:tc>
        <w:tc>
          <w:tcPr>
            <w:tcW w:w="791" w:type="dxa"/>
            <w:vAlign w:val="center"/>
          </w:tcPr>
          <w:p w14:paraId="164A4FC5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698" w:type="dxa"/>
            <w:vAlign w:val="center"/>
          </w:tcPr>
          <w:p w14:paraId="6C061802">
            <w:pPr>
              <w:ind w:leftChars="10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49" w:type="dxa"/>
            <w:vAlign w:val="center"/>
          </w:tcPr>
          <w:p w14:paraId="05F2946C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400</w:t>
            </w:r>
          </w:p>
        </w:tc>
        <w:tc>
          <w:tcPr>
            <w:tcW w:w="788" w:type="dxa"/>
            <w:vAlign w:val="center"/>
          </w:tcPr>
          <w:p w14:paraId="1F39206A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人民币</w:t>
            </w:r>
          </w:p>
        </w:tc>
        <w:tc>
          <w:tcPr>
            <w:tcW w:w="5473" w:type="dxa"/>
            <w:vAlign w:val="center"/>
          </w:tcPr>
          <w:p w14:paraId="1B36320B">
            <w:pPr>
              <w:ind w:left="150" w:hanging="180" w:hangingChars="100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五金件螺丝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：采用优质螺丝，坚固、耐用、不易生锈。产品符合GB/T3826-1999，中性盐雾实验（ASS实验）（连续喷雾100h）（级）。技校要求：涂（镀）层本身的耐腐蚀度等级10级，涂（镀）层对基本的保护等级10级。GB/T3827-1999乙酸盐雾试验（ASS试验）（连续喷雾100h）（级）：涂（镀）层本身的耐腐蚀等级10级，涂镀层对基本的保护等级10级</w:t>
            </w:r>
          </w:p>
          <w:p w14:paraId="6452378A">
            <w:pPr>
              <w:ind w:leftChars="100"/>
              <w:jc w:val="center"/>
              <w:rPr>
                <w:sz w:val="18"/>
                <w:szCs w:val="18"/>
              </w:rPr>
            </w:pPr>
          </w:p>
        </w:tc>
      </w:tr>
    </w:tbl>
    <w:p w14:paraId="0185707F">
      <w:pPr>
        <w:pStyle w:val="2"/>
        <w:keepNext/>
        <w:keepLines/>
        <w:widowControl w:val="0"/>
        <w:numPr>
          <w:ilvl w:val="0"/>
          <w:numId w:val="0"/>
        </w:numPr>
        <w:spacing w:before="260" w:after="260" w:line="416" w:lineRule="auto"/>
        <w:ind w:leftChars="0"/>
        <w:jc w:val="both"/>
        <w:outlineLvl w:val="1"/>
        <w:rPr>
          <w:sz w:val="24"/>
          <w:szCs w:val="24"/>
        </w:rPr>
      </w:pPr>
    </w:p>
    <w:p w14:paraId="64133BD8">
      <w:pPr>
        <w:rPr>
          <w:sz w:val="24"/>
          <w:szCs w:val="24"/>
        </w:rPr>
      </w:pPr>
    </w:p>
    <w:p w14:paraId="1C4B26D4">
      <w:pPr>
        <w:rPr>
          <w:sz w:val="24"/>
          <w:szCs w:val="24"/>
        </w:rPr>
      </w:pPr>
    </w:p>
    <w:p w14:paraId="54E920F3">
      <w:pPr>
        <w:pStyle w:val="2"/>
        <w:numPr>
          <w:ilvl w:val="0"/>
          <w:numId w:val="1"/>
        </w:numPr>
        <w:ind w:leftChars="100"/>
        <w:rPr>
          <w:sz w:val="24"/>
          <w:szCs w:val="24"/>
        </w:rPr>
      </w:pPr>
      <w:r>
        <w:rPr>
          <w:rFonts w:hint="eastAsia"/>
          <w:sz w:val="24"/>
          <w:szCs w:val="24"/>
        </w:rPr>
        <w:t>详细技术参数及规格要求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651"/>
        <w:gridCol w:w="8383"/>
      </w:tblGrid>
      <w:tr w14:paraId="5E212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shd w:val="solid" w:color="B6DDE8" w:themeColor="accent5" w:themeTint="66" w:fill="auto"/>
            <w:vAlign w:val="center"/>
          </w:tcPr>
          <w:p w14:paraId="4DD43C12">
            <w:pPr>
              <w:ind w:leftChars="100"/>
              <w:jc w:val="center"/>
              <w:rPr>
                <w:rFonts w:hint="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651" w:type="dxa"/>
            <w:shd w:val="solid" w:color="B6DDE8" w:themeColor="accent5" w:themeTint="66" w:fill="auto"/>
            <w:vAlign w:val="center"/>
          </w:tcPr>
          <w:p w14:paraId="555F3853">
            <w:pPr>
              <w:ind w:leftChars="10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参数及规格</w:t>
            </w:r>
          </w:p>
        </w:tc>
        <w:tc>
          <w:tcPr>
            <w:tcW w:w="8383" w:type="dxa"/>
            <w:shd w:val="solid" w:color="B6DDE8" w:themeColor="accent5" w:themeTint="66" w:fill="auto"/>
          </w:tcPr>
          <w:p w14:paraId="793D5B3D">
            <w:pPr>
              <w:ind w:leftChars="10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详细要求</w:t>
            </w:r>
          </w:p>
        </w:tc>
      </w:tr>
      <w:tr w14:paraId="25719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7" w:hRule="atLeast"/>
        </w:trPr>
        <w:tc>
          <w:tcPr>
            <w:tcW w:w="864" w:type="dxa"/>
            <w:vAlign w:val="center"/>
          </w:tcPr>
          <w:p w14:paraId="613F0B6F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桌面</w:t>
            </w:r>
          </w:p>
        </w:tc>
        <w:tc>
          <w:tcPr>
            <w:tcW w:w="1651" w:type="dxa"/>
            <w:vAlign w:val="center"/>
          </w:tcPr>
          <w:p w14:paraId="1300A2FD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1080*380</w:t>
            </w:r>
          </w:p>
          <w:p w14:paraId="07D888A6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1580*380</w:t>
            </w:r>
          </w:p>
          <w:p w14:paraId="3169A74B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2120*350</w:t>
            </w:r>
          </w:p>
          <w:p w14:paraId="5EA776DF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2130*350</w:t>
            </w:r>
          </w:p>
          <w:p w14:paraId="57D3ABFF"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2150*350</w:t>
            </w:r>
          </w:p>
        </w:tc>
        <w:tc>
          <w:tcPr>
            <w:tcW w:w="8383" w:type="dxa"/>
            <w:vMerge w:val="restart"/>
          </w:tcPr>
          <w:p w14:paraId="62356992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尺寸规格</w:t>
            </w:r>
          </w:p>
          <w:p w14:paraId="4B6896D9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所有部件的长宽尺寸必须严格匹配采购人提供的明细表规格，尺寸偏差控制在±0.5mm以内，厚度偏差控制在±0.2mm以内，确保与原有课桌椅安装结构完全适配，无需现场二次加工。</w:t>
            </w:r>
          </w:p>
          <w:p w14:paraId="3EF8073A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所有部件的边缘倒角、封边尺寸需统一，封边条宽度与板材厚度完全匹配，无错位、无溢胶。</w:t>
            </w:r>
          </w:p>
          <w:p w14:paraId="42FEA503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3. 桌面、座板、靠背板的平整度偏差≤0.5mm，无翘曲、无变形，安装后与原有课桌椅框架贴合紧密，无明显缝隙。</w:t>
            </w:r>
          </w:p>
          <w:p w14:paraId="112953CB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材质规格要求</w:t>
            </w:r>
          </w:p>
          <w:p w14:paraId="11EA15FE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所有木质板材明确甲醛释放量、静曲强度、内胶合强度等核心指标符合国标要求，严禁使用不合格板材。</w:t>
            </w:r>
          </w:p>
          <w:p w14:paraId="0AADAAD6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饰面材料必须采用耐磨、防污、防火的环保材料，阻燃性能等级达到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国家标准要求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，适配校园公共场所防火要求。外观与工艺规格要求</w:t>
            </w:r>
          </w:p>
          <w:p w14:paraId="21904440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. 封边工艺需采用热熔胶全自动封边机封边，封边严密、平整，无毛刺、无脱胶、无划痕、无气泡，边缘光滑无尖锐边角。</w:t>
            </w:r>
          </w:p>
          <w:p w14:paraId="6404E781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. 板材表面无划痕、无污渍、无鼓包、无分层，边角无磕碰、无破损，成品出厂前需经过全检，不合格产品严禁进场。</w:t>
            </w:r>
          </w:p>
          <w:p w14:paraId="634CCA74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安全规格要求</w:t>
            </w:r>
          </w:p>
          <w:p w14:paraId="3D05CB52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. 所有部件无尖锐边角、无毛刺、无易脱落部件，安装后无安全隐患，符合校园学生使用的安全要求。</w:t>
            </w:r>
          </w:p>
          <w:p w14:paraId="25520445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. 所有材料不含有毒有害物质，无刺激性气味，对人体健康无危害，适配校园密闭空间长期使用。</w:t>
            </w:r>
          </w:p>
          <w:p w14:paraId="1BD16D20">
            <w:pPr>
              <w:ind w:leftChars="100"/>
              <w:jc w:val="left"/>
              <w:rPr>
                <w:sz w:val="18"/>
                <w:szCs w:val="18"/>
              </w:rPr>
            </w:pPr>
          </w:p>
        </w:tc>
      </w:tr>
      <w:tr w14:paraId="23AD0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6" w:hRule="atLeast"/>
        </w:trPr>
        <w:tc>
          <w:tcPr>
            <w:tcW w:w="864" w:type="dxa"/>
            <w:vAlign w:val="center"/>
          </w:tcPr>
          <w:p w14:paraId="1D41FF62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靠背板</w:t>
            </w:r>
          </w:p>
        </w:tc>
        <w:tc>
          <w:tcPr>
            <w:tcW w:w="1651" w:type="dxa"/>
            <w:vAlign w:val="center"/>
          </w:tcPr>
          <w:p w14:paraId="56142CF0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480*290</w:t>
            </w:r>
          </w:p>
          <w:p w14:paraId="2B586D24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470*390</w:t>
            </w:r>
          </w:p>
          <w:p w14:paraId="7EE533C9">
            <w:pPr>
              <w:ind w:leftChars="10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  <w:tc>
          <w:tcPr>
            <w:tcW w:w="8383" w:type="dxa"/>
            <w:vMerge w:val="continue"/>
          </w:tcPr>
          <w:p w14:paraId="69041100">
            <w:pPr>
              <w:ind w:leftChars="100"/>
              <w:jc w:val="left"/>
              <w:rPr>
                <w:sz w:val="18"/>
                <w:szCs w:val="18"/>
              </w:rPr>
            </w:pPr>
          </w:p>
        </w:tc>
      </w:tr>
      <w:tr w14:paraId="2190E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864" w:type="dxa"/>
            <w:vAlign w:val="center"/>
          </w:tcPr>
          <w:p w14:paraId="195E9DEE">
            <w:pPr>
              <w:ind w:leftChars="10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坐板</w:t>
            </w:r>
          </w:p>
        </w:tc>
        <w:tc>
          <w:tcPr>
            <w:tcW w:w="1651" w:type="dxa"/>
            <w:vAlign w:val="center"/>
          </w:tcPr>
          <w:p w14:paraId="462900D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470*390</w:t>
            </w:r>
          </w:p>
          <w:p w14:paraId="0BBCCC5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450*400</w:t>
            </w:r>
          </w:p>
          <w:p w14:paraId="45BB0FFE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450*390</w:t>
            </w:r>
          </w:p>
        </w:tc>
        <w:tc>
          <w:tcPr>
            <w:tcW w:w="8383" w:type="dxa"/>
            <w:vMerge w:val="continue"/>
          </w:tcPr>
          <w:p w14:paraId="4ECC5DA8">
            <w:pPr>
              <w:ind w:leftChars="100"/>
              <w:jc w:val="left"/>
              <w:rPr>
                <w:sz w:val="18"/>
                <w:szCs w:val="18"/>
              </w:rPr>
            </w:pPr>
          </w:p>
        </w:tc>
      </w:tr>
      <w:tr w14:paraId="12707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5" w:type="dxa"/>
            <w:gridSpan w:val="2"/>
            <w:vAlign w:val="center"/>
          </w:tcPr>
          <w:p w14:paraId="24476CFA">
            <w:pPr>
              <w:ind w:leftChars="10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五金</w:t>
            </w:r>
          </w:p>
        </w:tc>
        <w:tc>
          <w:tcPr>
            <w:tcW w:w="8383" w:type="dxa"/>
          </w:tcPr>
          <w:p w14:paraId="1EADA7CC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1.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五金配件需与对应课桌椅型号完全适配，安装孔位精准，无需现场钻孔、改孔，确保安装效率和安装质量。</w:t>
            </w:r>
          </w:p>
          <w:p w14:paraId="1B7BA1EE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配套螺丝、连接件等配件需做防腐防锈处理，与板材、金属框架适配，安装后无松动、无滑丝。</w:t>
            </w:r>
          </w:p>
          <w:p w14:paraId="353427F2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18CD57DD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104C62C2">
            <w:pPr>
              <w:ind w:leftChars="100"/>
              <w:jc w:val="left"/>
              <w:rPr>
                <w:sz w:val="18"/>
                <w:szCs w:val="18"/>
              </w:rPr>
            </w:pPr>
          </w:p>
        </w:tc>
      </w:tr>
      <w:tr w14:paraId="3DC06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5" w:type="dxa"/>
            <w:gridSpan w:val="2"/>
            <w:vAlign w:val="center"/>
          </w:tcPr>
          <w:p w14:paraId="2F55D982">
            <w:pPr>
              <w:widowControl/>
              <w:spacing w:line="360" w:lineRule="auto"/>
              <w:ind w:leftChars="10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安全性要求</w:t>
            </w:r>
          </w:p>
        </w:tc>
        <w:tc>
          <w:tcPr>
            <w:tcW w:w="8383" w:type="dxa"/>
            <w:vAlign w:val="center"/>
          </w:tcPr>
          <w:p w14:paraId="7ACD92A8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安全交底：进场前对所有施工人员进行安全技术交底、校园管理规定交底，明确施工纪律、安全责任，所有施工人员持证上岗，佩戴统一工牌，严禁无关人员进入教学区域。</w:t>
            </w:r>
          </w:p>
          <w:p w14:paraId="517A6BAE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现场保护：进场前对施工区域的地面、墙面、门窗、教学设备、课桌椅框架等进行全面防护，采用保护膜、护角、围挡等材料做好保护，避免施工过程中造成磕碰、划伤、污染。</w:t>
            </w:r>
          </w:p>
          <w:p w14:paraId="3089B6E9">
            <w:pPr>
              <w:widowControl/>
              <w:spacing w:line="360" w:lineRule="auto"/>
              <w:ind w:left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 w14:paraId="5AB95143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C271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15" w:type="dxa"/>
            <w:gridSpan w:val="2"/>
            <w:vAlign w:val="center"/>
          </w:tcPr>
          <w:p w14:paraId="1F3090AE">
            <w:pPr>
              <w:widowControl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撤除与清除服务</w:t>
            </w:r>
          </w:p>
        </w:tc>
        <w:tc>
          <w:tcPr>
            <w:tcW w:w="8383" w:type="dxa"/>
            <w:vAlign w:val="center"/>
          </w:tcPr>
          <w:p w14:paraId="6301BD07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旧部件拆除：严格按照施工方案，对所有破损的座板、靠背板、桌面进行有序拆除，拆除过程中做好防护，避免损坏课桌椅原有金属框架、地面、墙面等设施，严禁暴力拆除。</w:t>
            </w:r>
          </w:p>
          <w:p w14:paraId="3454122F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旧物分类：拆除的旧部件进行分类整理，可回收、不可回收、危险废弃物分开存放，做好标识，避免混装。</w:t>
            </w:r>
          </w:p>
          <w:p w14:paraId="36513C85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3.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清运处理：拆除的旧板、旧配件等废弃物，采用密闭车辆当日清运出场，按照国家相关规定进行无害化处理，严禁随意丢弃、堆放，确保施工区域无遗留废弃物，无环境污染。</w:t>
            </w:r>
          </w:p>
          <w:p w14:paraId="679FA35F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4.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场地清理：拆旧完成后，对施工区域进行全面清扫、清洁，清除灰尘、碎屑、杂物，确保场地干净整洁，无施工垃圾遗留。</w:t>
            </w:r>
          </w:p>
          <w:p w14:paraId="7123CBAD">
            <w:pPr>
              <w:widowControl/>
              <w:spacing w:line="360" w:lineRule="auto"/>
              <w:ind w:left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 w14:paraId="1DA646C1">
            <w:pPr>
              <w:widowControl/>
              <w:spacing w:line="360" w:lineRule="auto"/>
              <w:ind w:left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3E1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8" w:hRule="atLeast"/>
        </w:trPr>
        <w:tc>
          <w:tcPr>
            <w:tcW w:w="2515" w:type="dxa"/>
            <w:gridSpan w:val="2"/>
            <w:vAlign w:val="center"/>
          </w:tcPr>
          <w:p w14:paraId="694B524E"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运输与仓储服务</w:t>
            </w:r>
          </w:p>
        </w:tc>
        <w:tc>
          <w:tcPr>
            <w:tcW w:w="8383" w:type="dxa"/>
            <w:vAlign w:val="center"/>
          </w:tcPr>
          <w:p w14:paraId="5A2CA56F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材料运输：所有新部件、配件采用专车密闭运输，运输过程中做好防震、防潮、防磕碰、防污染防护，确保材料运输过程中无破损、无变形、无受潮，运输费用包含在项目总费用内。</w:t>
            </w:r>
          </w:p>
          <w:p w14:paraId="6C43A9DA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现场仓储：材料进场后，在采购人指定的区域进行临时仓储，做好防潮、防火、防盗、防磕碰防护，安排专人管理，严禁材料乱堆乱放，影响校园通行和教学秩序。</w:t>
            </w:r>
          </w:p>
          <w:p w14:paraId="1532A9A5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3. 材料进场验收：材料进场时，配合采购人进行进场验收，核对材料的规格、数量、质量、检测报告，验收合格后方可进场使用，不合格材料立即退场更换。</w:t>
            </w:r>
          </w:p>
          <w:p w14:paraId="01099EBD">
            <w:pPr>
              <w:jc w:val="left"/>
              <w:rPr>
                <w:sz w:val="18"/>
                <w:szCs w:val="18"/>
                <w:vertAlign w:val="baseline"/>
              </w:rPr>
            </w:pPr>
          </w:p>
        </w:tc>
      </w:tr>
      <w:tr w14:paraId="7A9D3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5" w:hRule="atLeast"/>
        </w:trPr>
        <w:tc>
          <w:tcPr>
            <w:tcW w:w="2515" w:type="dxa"/>
            <w:gridSpan w:val="2"/>
            <w:vAlign w:val="center"/>
          </w:tcPr>
          <w:p w14:paraId="30D03253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安装与调试服务</w:t>
            </w:r>
          </w:p>
          <w:p w14:paraId="7460F3F3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8383" w:type="dxa"/>
            <w:vAlign w:val="center"/>
          </w:tcPr>
          <w:p w14:paraId="393E8BE8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安装施工：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合同签订后1个月内完成施工。验收</w:t>
            </w:r>
            <w:bookmarkStart w:id="0" w:name="_GoBack"/>
            <w:bookmarkEnd w:id="0"/>
            <w:r>
              <w:rPr>
                <w:rFonts w:hint="default"/>
                <w:sz w:val="18"/>
                <w:szCs w:val="18"/>
                <w:lang w:val="en-US" w:eastAsia="zh-CN"/>
              </w:rPr>
              <w:t>严格按照GB/T 3976-2014标准和课桌椅安装规范，对新的座板、靠背板、桌面进行精准安装，严格按照安装流程施工，确保安装孔位精准，螺丝紧固，连接牢固，无松动、无晃动、无歪斜。</w:t>
            </w:r>
          </w:p>
          <w:p w14:paraId="41DBC3B1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适配调试：安装完成后，对所有更换部件进行全面调试，调整安装间隙，确保部件与原有课桌椅框架贴合紧密，开关、推拉顺畅，无卡顿、无异响，整体使用体验符合人体工学要求。</w:t>
            </w:r>
          </w:p>
          <w:p w14:paraId="0BA62444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3. 现场清洁：每完成一个教室的安装，立即对施工区域进行全面清洁，清除施工碎屑、灰尘、污渍，擦拭干净课桌椅表面，确保教室干净整洁，不影响后续教学使用。</w:t>
            </w:r>
          </w:p>
          <w:p w14:paraId="71D826B2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4. 施工管控：施工过程中严格遵守校园管理规定，施工时间优先安排在非教学时段（夜间、周末、假期），控制施工噪音、粉尘，严禁影响校园正常教学秩序和学生休息。</w:t>
            </w:r>
          </w:p>
          <w:p w14:paraId="6641CE0F">
            <w:pPr>
              <w:jc w:val="left"/>
              <w:rPr>
                <w:sz w:val="18"/>
                <w:szCs w:val="18"/>
                <w:vertAlign w:val="baseline"/>
              </w:rPr>
            </w:pPr>
          </w:p>
        </w:tc>
      </w:tr>
      <w:tr w14:paraId="7B1D6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5" w:hRule="atLeast"/>
        </w:trPr>
        <w:tc>
          <w:tcPr>
            <w:tcW w:w="2515" w:type="dxa"/>
            <w:gridSpan w:val="2"/>
            <w:vAlign w:val="center"/>
          </w:tcPr>
          <w:p w14:paraId="4F59FDA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验收与交付服务</w:t>
            </w:r>
          </w:p>
          <w:p w14:paraId="272968D2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8383" w:type="dxa"/>
            <w:vAlign w:val="center"/>
          </w:tcPr>
          <w:p w14:paraId="0AE30938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分项验收：每个教室施工完成后，立即进行分项验收，核对更换部件的规格、数量、安装质量、外观效果，验收合格后签署分项验收单，不合格部分立即整改，直至符合要求。</w:t>
            </w:r>
          </w:p>
          <w:p w14:paraId="096359B0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竣工验收：全部施工完成后，配合采购人进行整体竣工验收，提供完整的验收资料（包括材料检测报告、施工记录、验收记录等），对所有更换部件的规格、数量、安装质量、使用功能进行全面核验，验收合格后签署竣工验收报告。</w:t>
            </w:r>
          </w:p>
          <w:p w14:paraId="7955F879">
            <w:pPr>
              <w:jc w:val="left"/>
              <w:rPr>
                <w:sz w:val="18"/>
                <w:szCs w:val="18"/>
                <w:vertAlign w:val="baseline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3. 资料交付：竣工验收完成后，向采购人交付完整的项目资料，包括但不限于：产品合格证、第三方检测报告、施工记录、验收记录、质保承诺书、使用维护说明等，所有资料一式两份，采购人留存一份。</w:t>
            </w:r>
          </w:p>
        </w:tc>
      </w:tr>
      <w:tr w14:paraId="6FE72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5" w:hRule="atLeast"/>
        </w:trPr>
        <w:tc>
          <w:tcPr>
            <w:tcW w:w="2515" w:type="dxa"/>
            <w:gridSpan w:val="2"/>
            <w:vAlign w:val="center"/>
          </w:tcPr>
          <w:p w14:paraId="4659A775"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质保与售后维保服务</w:t>
            </w:r>
          </w:p>
        </w:tc>
        <w:tc>
          <w:tcPr>
            <w:tcW w:w="8383" w:type="dxa"/>
            <w:vAlign w:val="center"/>
          </w:tcPr>
          <w:p w14:paraId="2C316BC6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质保期：本项目所有更换部件提供不少于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60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个月的免费质保期，质保期自竣工验收合格之日起计算。质保期内，非人为因素出现的部件开裂、变形、脱胶、五金生锈、安装松动等质量问题，提供免费维修、免费更换服务。</w:t>
            </w:r>
          </w:p>
          <w:p w14:paraId="71064B3C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应急响应：建立24小时应急响应机制，接到采购人维修通知后，2小时内响应，24小时内派员到场处理，紧急情况（如部件脱落、安全隐患）4小时内到场处置，确保不影响校园正常教学使用。</w:t>
            </w:r>
          </w:p>
          <w:p w14:paraId="4FEF1463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3. 定期巡检：质保期内，每季度提供一次免费上门巡检服务，对所有更换部件、五金配件进行全面检查、紧固、调试，及时发现并处理潜在问题，确保课桌椅正常使用。</w:t>
            </w:r>
          </w:p>
          <w:p w14:paraId="0D2801F0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4. 终身维保：质保期届满后，提供终身维保服务，仅收取成本费用，不收取人工服务费，确保后续维修、更换需求得到及时响应。</w:t>
            </w:r>
          </w:p>
          <w:p w14:paraId="69D0B01E">
            <w:pPr>
              <w:jc w:val="left"/>
              <w:rPr>
                <w:sz w:val="18"/>
                <w:szCs w:val="18"/>
                <w:vertAlign w:val="baseline"/>
              </w:rPr>
            </w:pPr>
          </w:p>
        </w:tc>
      </w:tr>
      <w:tr w14:paraId="71AAB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5" w:hRule="atLeast"/>
        </w:trPr>
        <w:tc>
          <w:tcPr>
            <w:tcW w:w="2515" w:type="dxa"/>
            <w:gridSpan w:val="2"/>
            <w:vAlign w:val="center"/>
          </w:tcPr>
          <w:p w14:paraId="7CF667F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其他配套服务</w:t>
            </w:r>
          </w:p>
          <w:p w14:paraId="75BDF5AE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8383" w:type="dxa"/>
            <w:vAlign w:val="center"/>
          </w:tcPr>
          <w:p w14:paraId="75FA3F8A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1. 税金：本项目总费用已包含增值税专用发票税金，竣工验收后5个工作日内，向采购人开具等额增值税专用发票。</w:t>
            </w:r>
          </w:p>
          <w:p w14:paraId="24A0E809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2. 保险：施工期间，为所有施工人员购买意外伤害保险，为施工项目购买财产保险，施工过程中出现的人员伤亡、财产损失，全部由成交人承担，与采购人无关。</w:t>
            </w:r>
          </w:p>
          <w:p w14:paraId="77A5AF35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3. 文明施工：严格按照校园文明施工要求施工，统一着装、佩戴工牌，严禁在校园内吸烟、喧哗、打闹，严禁违规施工，确保施工过程文明有序。</w:t>
            </w:r>
          </w:p>
          <w:p w14:paraId="0CE14F06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t>4. 配合服务：积极配合采购人的各项管理要求，配合学校的各项检查、验收工作，及时提供所需的各项资料、数据，确保项目顺利完成。</w:t>
            </w:r>
          </w:p>
          <w:p w14:paraId="1A91E57A">
            <w:pPr>
              <w:jc w:val="left"/>
              <w:rPr>
                <w:sz w:val="18"/>
                <w:szCs w:val="18"/>
                <w:vertAlign w:val="baseline"/>
              </w:rPr>
            </w:pPr>
          </w:p>
        </w:tc>
      </w:tr>
    </w:tbl>
    <w:p w14:paraId="13F49E35">
      <w:pPr>
        <w:rPr>
          <w:sz w:val="24"/>
          <w:szCs w:val="24"/>
        </w:rPr>
      </w:pPr>
    </w:p>
    <w:sectPr>
      <w:pgSz w:w="11906" w:h="16838"/>
      <w:pgMar w:top="760" w:right="612" w:bottom="760" w:left="61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05356C"/>
    <w:multiLevelType w:val="multilevel"/>
    <w:tmpl w:val="5605356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FB"/>
    <w:rsid w:val="00002D92"/>
    <w:rsid w:val="00006CFB"/>
    <w:rsid w:val="000414E8"/>
    <w:rsid w:val="00057C5C"/>
    <w:rsid w:val="000655E9"/>
    <w:rsid w:val="000F1FCA"/>
    <w:rsid w:val="00145666"/>
    <w:rsid w:val="001858E4"/>
    <w:rsid w:val="00241819"/>
    <w:rsid w:val="00355A18"/>
    <w:rsid w:val="003A0327"/>
    <w:rsid w:val="003E6BE6"/>
    <w:rsid w:val="004309A9"/>
    <w:rsid w:val="00572673"/>
    <w:rsid w:val="005E6ACD"/>
    <w:rsid w:val="00675C29"/>
    <w:rsid w:val="006904A9"/>
    <w:rsid w:val="006F49EB"/>
    <w:rsid w:val="00817B9D"/>
    <w:rsid w:val="008B4BB2"/>
    <w:rsid w:val="008E6B7F"/>
    <w:rsid w:val="00954F07"/>
    <w:rsid w:val="009B01EB"/>
    <w:rsid w:val="00AB0895"/>
    <w:rsid w:val="00B021E0"/>
    <w:rsid w:val="00B42FA8"/>
    <w:rsid w:val="00B92D97"/>
    <w:rsid w:val="00BF05E1"/>
    <w:rsid w:val="00BF53ED"/>
    <w:rsid w:val="00C3362A"/>
    <w:rsid w:val="00C64632"/>
    <w:rsid w:val="00C7759F"/>
    <w:rsid w:val="00CB0408"/>
    <w:rsid w:val="00CC3CD0"/>
    <w:rsid w:val="00D11DB7"/>
    <w:rsid w:val="00D66EC7"/>
    <w:rsid w:val="00D76AEE"/>
    <w:rsid w:val="00DA12BF"/>
    <w:rsid w:val="00DC213C"/>
    <w:rsid w:val="00E302BB"/>
    <w:rsid w:val="00ED3D5E"/>
    <w:rsid w:val="00F31A63"/>
    <w:rsid w:val="00F56182"/>
    <w:rsid w:val="00FC4568"/>
    <w:rsid w:val="00FE00DC"/>
    <w:rsid w:val="00FE2557"/>
    <w:rsid w:val="027C3382"/>
    <w:rsid w:val="03F84D6E"/>
    <w:rsid w:val="06CC0389"/>
    <w:rsid w:val="0797489E"/>
    <w:rsid w:val="08A233EB"/>
    <w:rsid w:val="093D3223"/>
    <w:rsid w:val="09701F8A"/>
    <w:rsid w:val="0C931AD8"/>
    <w:rsid w:val="0F9F4A9C"/>
    <w:rsid w:val="0FB215E0"/>
    <w:rsid w:val="0FFB1E00"/>
    <w:rsid w:val="115845C0"/>
    <w:rsid w:val="12940358"/>
    <w:rsid w:val="13394A5B"/>
    <w:rsid w:val="13CD6F8A"/>
    <w:rsid w:val="141C0605"/>
    <w:rsid w:val="156A53A0"/>
    <w:rsid w:val="16F5513D"/>
    <w:rsid w:val="17A0085C"/>
    <w:rsid w:val="17EC4792"/>
    <w:rsid w:val="19665CE9"/>
    <w:rsid w:val="19A35324"/>
    <w:rsid w:val="19A8200A"/>
    <w:rsid w:val="19EB0518"/>
    <w:rsid w:val="1A9E2514"/>
    <w:rsid w:val="1CCE4B84"/>
    <w:rsid w:val="1D0B56BA"/>
    <w:rsid w:val="1D61352C"/>
    <w:rsid w:val="1E2E78B2"/>
    <w:rsid w:val="1EF67851"/>
    <w:rsid w:val="1F0202D4"/>
    <w:rsid w:val="1F1619AB"/>
    <w:rsid w:val="1FB913FE"/>
    <w:rsid w:val="20191E9C"/>
    <w:rsid w:val="207B2B57"/>
    <w:rsid w:val="20C55B80"/>
    <w:rsid w:val="21BB766A"/>
    <w:rsid w:val="27985D9D"/>
    <w:rsid w:val="295C7ED5"/>
    <w:rsid w:val="2BEE242F"/>
    <w:rsid w:val="2D3000E2"/>
    <w:rsid w:val="2DA10BCB"/>
    <w:rsid w:val="2F4B5EE4"/>
    <w:rsid w:val="2F9349CF"/>
    <w:rsid w:val="2FEC4ED7"/>
    <w:rsid w:val="30FC7C6D"/>
    <w:rsid w:val="311B77D4"/>
    <w:rsid w:val="31540CDC"/>
    <w:rsid w:val="367A5DED"/>
    <w:rsid w:val="37607F59"/>
    <w:rsid w:val="38B428EF"/>
    <w:rsid w:val="3A712BA9"/>
    <w:rsid w:val="3B6F4C0F"/>
    <w:rsid w:val="40DF6392"/>
    <w:rsid w:val="41A82C28"/>
    <w:rsid w:val="422E3765"/>
    <w:rsid w:val="43B5142D"/>
    <w:rsid w:val="444E7AB7"/>
    <w:rsid w:val="4508410A"/>
    <w:rsid w:val="46462D05"/>
    <w:rsid w:val="46BE663B"/>
    <w:rsid w:val="480212E4"/>
    <w:rsid w:val="48DA427E"/>
    <w:rsid w:val="498A47D9"/>
    <w:rsid w:val="4CDD40CE"/>
    <w:rsid w:val="4E600B13"/>
    <w:rsid w:val="50731F8A"/>
    <w:rsid w:val="50C03AEB"/>
    <w:rsid w:val="510323AA"/>
    <w:rsid w:val="5294522F"/>
    <w:rsid w:val="533D7674"/>
    <w:rsid w:val="534360E5"/>
    <w:rsid w:val="55443E00"/>
    <w:rsid w:val="5AF56A87"/>
    <w:rsid w:val="5B4F41F8"/>
    <w:rsid w:val="5B9B762E"/>
    <w:rsid w:val="5BC84A32"/>
    <w:rsid w:val="5C750E74"/>
    <w:rsid w:val="5CFE60C6"/>
    <w:rsid w:val="5D327B1E"/>
    <w:rsid w:val="61492DD9"/>
    <w:rsid w:val="61D513C0"/>
    <w:rsid w:val="63181A32"/>
    <w:rsid w:val="63C11BFC"/>
    <w:rsid w:val="661A3845"/>
    <w:rsid w:val="677A0A3F"/>
    <w:rsid w:val="6A1F767C"/>
    <w:rsid w:val="6A771266"/>
    <w:rsid w:val="6B6F63E1"/>
    <w:rsid w:val="6C6E0447"/>
    <w:rsid w:val="6FCA008A"/>
    <w:rsid w:val="739E28D4"/>
    <w:rsid w:val="76441450"/>
    <w:rsid w:val="76DA5057"/>
    <w:rsid w:val="77E72B75"/>
    <w:rsid w:val="784C3D32"/>
    <w:rsid w:val="78511348"/>
    <w:rsid w:val="795E6608"/>
    <w:rsid w:val="79B25E17"/>
    <w:rsid w:val="7DA342EC"/>
    <w:rsid w:val="7FCB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semiHidden/>
    <w:unhideWhenUsed/>
    <w:qFormat/>
    <w:uiPriority w:val="99"/>
    <w:pPr>
      <w:spacing w:after="120"/>
    </w:p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Emphasis"/>
    <w:basedOn w:val="11"/>
    <w:qFormat/>
    <w:uiPriority w:val="20"/>
    <w:rPr>
      <w:i/>
    </w:rPr>
  </w:style>
  <w:style w:type="character" w:styleId="14">
    <w:name w:val="HTML Code"/>
    <w:basedOn w:val="11"/>
    <w:semiHidden/>
    <w:unhideWhenUsed/>
    <w:qFormat/>
    <w:uiPriority w:val="99"/>
    <w:rPr>
      <w:rFonts w:ascii="Courier New" w:hAnsi="Courier New"/>
      <w:sz w:val="20"/>
    </w:rPr>
  </w:style>
  <w:style w:type="character" w:customStyle="1" w:styleId="15">
    <w:name w:val="标题 2 字符"/>
    <w:basedOn w:val="11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6">
    <w:name w:val="标题 3 字符"/>
    <w:basedOn w:val="11"/>
    <w:link w:val="3"/>
    <w:qFormat/>
    <w:uiPriority w:val="9"/>
    <w:rPr>
      <w:b/>
      <w:bCs/>
      <w:sz w:val="32"/>
      <w:szCs w:val="32"/>
    </w:rPr>
  </w:style>
  <w:style w:type="character" w:customStyle="1" w:styleId="17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shunsuinf</Company>
  <Pages>4</Pages>
  <Words>1266</Words>
  <Characters>1702</Characters>
  <Lines>54</Lines>
  <Paragraphs>66</Paragraphs>
  <TotalTime>247</TotalTime>
  <ScaleCrop>false</ScaleCrop>
  <LinksUpToDate>false</LinksUpToDate>
  <CharactersWithSpaces>1721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2017-02-27T07:59:00Z</dcterms:created>
  <dc:creator>cwd</dc:creator>
  <cp:lastModifiedBy>陈卫</cp:lastModifiedBy>
  <dcterms:modified xsi:type="dcterms:W3CDTF">2026-07-06T08:05:44Z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eyJoZGlkIjoiN2M2MTE2YTBlNGNhMDJiOGI2ZDhiY2FiYjJlNGNkNDYiLCJ1c2VySWQiOiI2NDg4NjIyMTIifQ==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165A346CDFA846ABB14C546C5493B2A9_13</vt:lpwstr>
  </property>
</Properties>
</file>